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B7E" w:rsidRDefault="005E3B7E">
      <w:r>
        <w:t xml:space="preserve">                                 </w:t>
      </w:r>
      <w:r>
        <w:tab/>
      </w:r>
      <w:r>
        <w:tab/>
      </w:r>
      <w:proofErr w:type="spellStart"/>
      <w:r>
        <w:t>Jabez</w:t>
      </w:r>
      <w:proofErr w:type="spellEnd"/>
      <w:r>
        <w:t xml:space="preserve"> Partners</w:t>
      </w:r>
    </w:p>
    <w:p w:rsidR="005E3B7E" w:rsidRDefault="005E3B7E">
      <w:r>
        <w:tab/>
      </w:r>
      <w:r>
        <w:tab/>
      </w:r>
      <w:r>
        <w:tab/>
      </w:r>
      <w:r>
        <w:tab/>
        <w:t>9410 Elizabeth Lake Rd.</w:t>
      </w:r>
    </w:p>
    <w:p w:rsidR="005E3B7E" w:rsidRDefault="005E3B7E">
      <w:r>
        <w:tab/>
      </w:r>
      <w:r>
        <w:tab/>
      </w:r>
      <w:r>
        <w:tab/>
      </w:r>
      <w:r>
        <w:tab/>
        <w:t>White Lake, Mi 48386</w:t>
      </w:r>
    </w:p>
    <w:p w:rsidR="00932134" w:rsidRDefault="00932134">
      <w:r>
        <w:t>6/17/14</w:t>
      </w:r>
    </w:p>
    <w:p w:rsidR="005E3B7E" w:rsidRDefault="005E3B7E">
      <w:r>
        <w:t>RE: Illegal Seizure of Property</w:t>
      </w:r>
    </w:p>
    <w:p w:rsidR="005E3B7E" w:rsidRDefault="005E3B7E">
      <w:r>
        <w:t>Intent to do financial harm and emotional suffering</w:t>
      </w:r>
    </w:p>
    <w:p w:rsidR="005E3B7E" w:rsidRDefault="005E3B7E">
      <w:r>
        <w:t>Gross Negligence and Incompetence in interpretation of Zoning Law</w:t>
      </w:r>
    </w:p>
    <w:p w:rsidR="005E3B7E" w:rsidRDefault="005E3B7E">
      <w:r>
        <w:t>Insubordination to a superior</w:t>
      </w:r>
    </w:p>
    <w:p w:rsidR="005E3B7E" w:rsidRDefault="005E3B7E">
      <w:r>
        <w:t>Etc.</w:t>
      </w:r>
    </w:p>
    <w:p w:rsidR="00AB3F4A" w:rsidRDefault="00AB3F4A">
      <w:r>
        <w:t>To:</w:t>
      </w:r>
    </w:p>
    <w:p w:rsidR="00AB3F4A" w:rsidRDefault="00AB3F4A">
      <w:r>
        <w:t xml:space="preserve">Rick </w:t>
      </w:r>
      <w:proofErr w:type="spellStart"/>
      <w:r>
        <w:t>Kowall</w:t>
      </w:r>
      <w:proofErr w:type="spellEnd"/>
      <w:r>
        <w:t xml:space="preserve">, Carol </w:t>
      </w:r>
      <w:proofErr w:type="spellStart"/>
      <w:r>
        <w:t>Burkhard</w:t>
      </w:r>
      <w:proofErr w:type="spellEnd"/>
      <w:r>
        <w:t>,</w:t>
      </w:r>
      <w:r w:rsidR="00396EC5">
        <w:t xml:space="preserve"> Scott </w:t>
      </w:r>
      <w:proofErr w:type="spellStart"/>
      <w:r w:rsidR="00396EC5">
        <w:t>Ruggles</w:t>
      </w:r>
      <w:proofErr w:type="spellEnd"/>
      <w:r w:rsidR="00396EC5">
        <w:t xml:space="preserve">, Andrea </w:t>
      </w:r>
      <w:proofErr w:type="spellStart"/>
      <w:r w:rsidR="00396EC5">
        <w:t>Voorheis</w:t>
      </w:r>
      <w:proofErr w:type="spellEnd"/>
      <w:r w:rsidR="00396EC5">
        <w:t xml:space="preserve">, Gregg Baroni, Brent </w:t>
      </w:r>
      <w:proofErr w:type="spellStart"/>
      <w:r w:rsidR="00396EC5">
        <w:t>Bonniver</w:t>
      </w:r>
      <w:proofErr w:type="spellEnd"/>
      <w:r w:rsidR="00396EC5">
        <w:t>,</w:t>
      </w:r>
      <w:r w:rsidR="0060064A">
        <w:t xml:space="preserve"> </w:t>
      </w:r>
      <w:r w:rsidR="00396EC5" w:rsidRPr="00640AC0">
        <w:rPr>
          <w:highlight w:val="yellow"/>
        </w:rPr>
        <w:t xml:space="preserve">Lisa Hamameh, Sean </w:t>
      </w:r>
      <w:proofErr w:type="spellStart"/>
      <w:r w:rsidR="00396EC5" w:rsidRPr="00640AC0">
        <w:rPr>
          <w:highlight w:val="yellow"/>
        </w:rPr>
        <w:t>O’neil</w:t>
      </w:r>
      <w:proofErr w:type="spellEnd"/>
    </w:p>
    <w:p w:rsidR="005E3B7E" w:rsidRDefault="005E3B7E"/>
    <w:p w:rsidR="001A5D1D" w:rsidRDefault="00DC59E8">
      <w:r>
        <w:t xml:space="preserve">Dear trustees of White Lake.  </w:t>
      </w:r>
    </w:p>
    <w:p w:rsidR="00875FB2" w:rsidRDefault="00D608EF">
      <w:r>
        <w:t xml:space="preserve">I think </w:t>
      </w:r>
      <w:r w:rsidR="001A5D1D">
        <w:t>it</w:t>
      </w:r>
      <w:r w:rsidR="0060064A">
        <w:t xml:space="preserve"> is time for one of</w:t>
      </w:r>
      <w:r w:rsidR="00375B3F">
        <w:t xml:space="preserve"> those</w:t>
      </w:r>
      <w:r w:rsidR="0060064A">
        <w:t xml:space="preserve"> Board of Trustees</w:t>
      </w:r>
      <w:r>
        <w:t xml:space="preserve"> “emergency sessions”, as Sean </w:t>
      </w:r>
      <w:proofErr w:type="spellStart"/>
      <w:r>
        <w:t>O</w:t>
      </w:r>
      <w:r w:rsidR="001A5D1D">
        <w:t>’</w:t>
      </w:r>
      <w:r>
        <w:t>neil</w:t>
      </w:r>
      <w:proofErr w:type="spellEnd"/>
      <w:r>
        <w:t xml:space="preserve"> has pushed me to the breaking point.</w:t>
      </w:r>
    </w:p>
    <w:p w:rsidR="006D2195" w:rsidRDefault="006D2195">
      <w:r w:rsidRPr="006952C3">
        <w:rPr>
          <w:highlight w:val="yellow"/>
        </w:rPr>
        <w:t xml:space="preserve">I never faced, really </w:t>
      </w:r>
      <w:r w:rsidR="001A5D1D" w:rsidRPr="006952C3">
        <w:rPr>
          <w:highlight w:val="yellow"/>
        </w:rPr>
        <w:t>hurtful</w:t>
      </w:r>
      <w:r w:rsidRPr="006952C3">
        <w:rPr>
          <w:highlight w:val="yellow"/>
        </w:rPr>
        <w:t xml:space="preserve"> pain UNTIL SEAN O’NEIL.  He is the ultimate intimidation weapon, because, with the wave of his hand, and a mis-representation of the law…illegally, and without any compassion what so ever, </w:t>
      </w:r>
      <w:r w:rsidR="001A5D1D" w:rsidRPr="006952C3">
        <w:rPr>
          <w:highlight w:val="yellow"/>
        </w:rPr>
        <w:t xml:space="preserve"> took</w:t>
      </w:r>
      <w:r w:rsidRPr="006952C3">
        <w:rPr>
          <w:highlight w:val="yellow"/>
        </w:rPr>
        <w:t xml:space="preserve"> my property rights, and thereby my income</w:t>
      </w:r>
      <w:r>
        <w:t>.</w:t>
      </w:r>
    </w:p>
    <w:p w:rsidR="00754CAD" w:rsidRDefault="006D048C" w:rsidP="00754CAD">
      <w:r w:rsidRPr="00640AC0">
        <w:rPr>
          <w:highlight w:val="yellow"/>
        </w:rPr>
        <w:t>So on to Sean.  The US Attorney</w:t>
      </w:r>
      <w:r w:rsidR="008A6341" w:rsidRPr="00640AC0">
        <w:rPr>
          <w:highlight w:val="yellow"/>
        </w:rPr>
        <w:t xml:space="preserve"> said, from what h</w:t>
      </w:r>
      <w:r w:rsidRPr="00640AC0">
        <w:rPr>
          <w:highlight w:val="yellow"/>
        </w:rPr>
        <w:t xml:space="preserve">e read, it </w:t>
      </w:r>
      <w:r w:rsidR="00D024A6" w:rsidRPr="00640AC0">
        <w:rPr>
          <w:highlight w:val="yellow"/>
        </w:rPr>
        <w:t>definitely</w:t>
      </w:r>
      <w:r w:rsidRPr="00640AC0">
        <w:rPr>
          <w:highlight w:val="yellow"/>
        </w:rPr>
        <w:t xml:space="preserve"> seamed Sean</w:t>
      </w:r>
      <w:r w:rsidR="008A6341" w:rsidRPr="00640AC0">
        <w:rPr>
          <w:highlight w:val="yellow"/>
        </w:rPr>
        <w:t xml:space="preserve"> was self serving and intimidating, or just negligent in his understanding of the law he is s</w:t>
      </w:r>
      <w:r w:rsidR="00D024A6" w:rsidRPr="00640AC0">
        <w:rPr>
          <w:highlight w:val="yellow"/>
        </w:rPr>
        <w:t>up</w:t>
      </w:r>
      <w:r w:rsidR="008A6341" w:rsidRPr="00640AC0">
        <w:rPr>
          <w:highlight w:val="yellow"/>
        </w:rPr>
        <w:t xml:space="preserve">posed to represent.  In either event, these are both reasons to have him </w:t>
      </w:r>
      <w:r w:rsidR="00D024A6" w:rsidRPr="00640AC0">
        <w:rPr>
          <w:highlight w:val="yellow"/>
        </w:rPr>
        <w:t>discharged</w:t>
      </w:r>
      <w:r w:rsidR="008A6341" w:rsidRPr="00640AC0">
        <w:rPr>
          <w:highlight w:val="yellow"/>
        </w:rPr>
        <w:t xml:space="preserve"> from public service, and possibly charged with criminal intent.</w:t>
      </w:r>
      <w:r w:rsidR="008A6341">
        <w:t xml:space="preserve">  </w:t>
      </w:r>
    </w:p>
    <w:p w:rsidR="006C7971" w:rsidRDefault="006C7971">
      <w:r>
        <w:t xml:space="preserve">   </w:t>
      </w:r>
    </w:p>
    <w:p w:rsidR="006C7971" w:rsidRDefault="003E2E6F">
      <w:r>
        <w:t>But back to Sean.  The US Attorney</w:t>
      </w:r>
      <w:r w:rsidR="006C7971">
        <w:t xml:space="preserve"> advised, before I go to circuit court</w:t>
      </w:r>
      <w:r>
        <w:t xml:space="preserve"> on zoning law</w:t>
      </w:r>
      <w:r w:rsidR="006C7971">
        <w:t>, to get an expert on zoning law to testify to the court, rather than just my opi</w:t>
      </w:r>
      <w:r w:rsidR="00A10EEC">
        <w:t>ni</w:t>
      </w:r>
      <w:r w:rsidR="006C7971">
        <w:t>on vs. a supposedly trained of</w:t>
      </w:r>
      <w:r w:rsidR="00D54743">
        <w:t>ficial.  He said he would get</w:t>
      </w:r>
      <w:r w:rsidR="006C7971">
        <w:t xml:space="preserve"> the address of someone in Michigan they use in such cases.</w:t>
      </w:r>
    </w:p>
    <w:p w:rsidR="006C7971" w:rsidRDefault="006C7971">
      <w:r>
        <w:t xml:space="preserve">In about 20 minutes I had the address of a professor at </w:t>
      </w:r>
      <w:r w:rsidR="00B67EC1">
        <w:t>a Michigan</w:t>
      </w:r>
      <w:r>
        <w:t xml:space="preserve"> University who has written several books on the subject, has written a number of muni</w:t>
      </w:r>
      <w:r w:rsidR="00A10EEC">
        <w:t>cipal</w:t>
      </w:r>
      <w:r>
        <w:t xml:space="preserve"> zoning laws, testified before numerous court hearings, etc.  I was able to contact him Friday afternoon, and he pulled up the White Lake Code on the </w:t>
      </w:r>
      <w:r>
        <w:lastRenderedPageBreak/>
        <w:t xml:space="preserve">net.  He agreed with me that the sections cited by Sean </w:t>
      </w:r>
      <w:r w:rsidR="00754CAD">
        <w:t xml:space="preserve">and Lisa </w:t>
      </w:r>
      <w:r>
        <w:t>in taking my property rights, in fact had nothing to do with interior use, but rather as I had written to Sean, no expansion of the structure.</w:t>
      </w:r>
    </w:p>
    <w:p w:rsidR="006C7971" w:rsidRDefault="006C7971">
      <w:r>
        <w:t xml:space="preserve">However, he said most codes he has read, like hundreds, address </w:t>
      </w:r>
      <w:r w:rsidR="00A10EEC">
        <w:t>interior</w:t>
      </w:r>
      <w:r>
        <w:t xml:space="preserve"> use somewhere</w:t>
      </w:r>
      <w:r w:rsidR="0028547B">
        <w:t xml:space="preserve"> in the code.  After scanning the code for about twenty seconds, he said…here it is down in section 7.26,</w:t>
      </w:r>
      <w:r w:rsidR="00754CAD">
        <w:t xml:space="preserve"> dedicated to the building inspector.</w:t>
      </w:r>
    </w:p>
    <w:p w:rsidR="002E228D" w:rsidRPr="00A529EC" w:rsidRDefault="002E228D" w:rsidP="002E228D">
      <w:pPr>
        <w:autoSpaceDE w:val="0"/>
        <w:autoSpaceDN w:val="0"/>
        <w:adjustRightInd w:val="0"/>
        <w:spacing w:after="0" w:line="240" w:lineRule="auto"/>
        <w:rPr>
          <w:rFonts w:ascii="Sylfaen" w:hAnsi="Sylfaen" w:cs="Sylfaen"/>
          <w:sz w:val="20"/>
          <w:szCs w:val="20"/>
          <w:highlight w:val="yellow"/>
        </w:rPr>
      </w:pPr>
      <w:r w:rsidRPr="00A529EC">
        <w:rPr>
          <w:rFonts w:ascii="Sylfaen" w:hAnsi="Sylfaen" w:cs="Sylfaen"/>
          <w:sz w:val="20"/>
          <w:szCs w:val="20"/>
          <w:highlight w:val="yellow"/>
        </w:rPr>
        <w:t>7.26 NONCONFORMING USES OF</w:t>
      </w:r>
    </w:p>
    <w:p w:rsidR="002E228D" w:rsidRPr="00A529EC" w:rsidRDefault="002E228D" w:rsidP="002E228D">
      <w:pPr>
        <w:autoSpaceDE w:val="0"/>
        <w:autoSpaceDN w:val="0"/>
        <w:adjustRightInd w:val="0"/>
        <w:spacing w:after="0" w:line="240" w:lineRule="auto"/>
        <w:rPr>
          <w:rFonts w:ascii="Sylfaen" w:hAnsi="Sylfaen" w:cs="Sylfaen"/>
          <w:sz w:val="20"/>
          <w:szCs w:val="20"/>
          <w:highlight w:val="yellow"/>
        </w:rPr>
      </w:pPr>
      <w:r w:rsidRPr="00A529EC">
        <w:rPr>
          <w:rFonts w:ascii="Sylfaen" w:hAnsi="Sylfaen" w:cs="Sylfaen"/>
          <w:sz w:val="20"/>
          <w:szCs w:val="20"/>
          <w:highlight w:val="yellow"/>
        </w:rPr>
        <w:t>STRUCTURES</w:t>
      </w:r>
    </w:p>
    <w:p w:rsidR="002E228D" w:rsidRPr="00A529EC" w:rsidRDefault="002E228D" w:rsidP="002E228D">
      <w:pPr>
        <w:autoSpaceDE w:val="0"/>
        <w:autoSpaceDN w:val="0"/>
        <w:adjustRightInd w:val="0"/>
        <w:spacing w:after="0" w:line="240" w:lineRule="auto"/>
        <w:rPr>
          <w:rFonts w:ascii="FranklinGothic-Book" w:hAnsi="FranklinGothic-Book" w:cs="FranklinGothic-Book"/>
          <w:sz w:val="20"/>
          <w:szCs w:val="20"/>
          <w:highlight w:val="yellow"/>
        </w:rPr>
      </w:pPr>
      <w:r w:rsidRPr="00A529EC">
        <w:rPr>
          <w:rFonts w:ascii="FranklinGothic-Book" w:hAnsi="FranklinGothic-Book" w:cs="FranklinGothic-Book"/>
          <w:sz w:val="20"/>
          <w:szCs w:val="20"/>
          <w:highlight w:val="yellow"/>
        </w:rPr>
        <w:t>B. Any nonconforming use may be extended</w:t>
      </w:r>
    </w:p>
    <w:p w:rsidR="002E228D" w:rsidRPr="00A529EC" w:rsidRDefault="002E228D" w:rsidP="002E228D">
      <w:pPr>
        <w:autoSpaceDE w:val="0"/>
        <w:autoSpaceDN w:val="0"/>
        <w:adjustRightInd w:val="0"/>
        <w:spacing w:after="0" w:line="240" w:lineRule="auto"/>
        <w:rPr>
          <w:rFonts w:ascii="FranklinGothic-Book" w:hAnsi="FranklinGothic-Book" w:cs="FranklinGothic-Book"/>
          <w:sz w:val="20"/>
          <w:szCs w:val="20"/>
          <w:highlight w:val="yellow"/>
        </w:rPr>
      </w:pPr>
      <w:r w:rsidRPr="00A529EC">
        <w:rPr>
          <w:rFonts w:ascii="FranklinGothic-Book" w:hAnsi="FranklinGothic-Book" w:cs="FranklinGothic-Book"/>
          <w:sz w:val="20"/>
          <w:szCs w:val="20"/>
          <w:highlight w:val="yellow"/>
        </w:rPr>
        <w:t>throughout any parts of a building which</w:t>
      </w:r>
    </w:p>
    <w:p w:rsidR="002E228D" w:rsidRPr="00A529EC" w:rsidRDefault="002E228D" w:rsidP="002E228D">
      <w:pPr>
        <w:autoSpaceDE w:val="0"/>
        <w:autoSpaceDN w:val="0"/>
        <w:adjustRightInd w:val="0"/>
        <w:spacing w:after="0" w:line="240" w:lineRule="auto"/>
        <w:rPr>
          <w:rFonts w:ascii="FranklinGothic-Book" w:hAnsi="FranklinGothic-Book" w:cs="FranklinGothic-Book"/>
          <w:sz w:val="20"/>
          <w:szCs w:val="20"/>
          <w:highlight w:val="yellow"/>
        </w:rPr>
      </w:pPr>
      <w:r w:rsidRPr="00A529EC">
        <w:rPr>
          <w:rFonts w:ascii="FranklinGothic-Book" w:hAnsi="FranklinGothic-Book" w:cs="FranklinGothic-Book"/>
          <w:sz w:val="20"/>
          <w:szCs w:val="20"/>
          <w:highlight w:val="yellow"/>
        </w:rPr>
        <w:t>were manifestly arranged or designed for</w:t>
      </w:r>
    </w:p>
    <w:p w:rsidR="002E228D" w:rsidRPr="00A529EC" w:rsidRDefault="002E228D" w:rsidP="002E228D">
      <w:pPr>
        <w:autoSpaceDE w:val="0"/>
        <w:autoSpaceDN w:val="0"/>
        <w:adjustRightInd w:val="0"/>
        <w:spacing w:after="0" w:line="240" w:lineRule="auto"/>
        <w:rPr>
          <w:rFonts w:ascii="FranklinGothic-Book" w:hAnsi="FranklinGothic-Book" w:cs="FranklinGothic-Book"/>
          <w:sz w:val="20"/>
          <w:szCs w:val="20"/>
          <w:highlight w:val="yellow"/>
        </w:rPr>
      </w:pPr>
      <w:r w:rsidRPr="00A529EC">
        <w:rPr>
          <w:rFonts w:ascii="FranklinGothic-Book" w:hAnsi="FranklinGothic-Book" w:cs="FranklinGothic-Book"/>
          <w:sz w:val="20"/>
          <w:szCs w:val="20"/>
          <w:highlight w:val="yellow"/>
        </w:rPr>
        <w:t>such use at the time of adoption or</w:t>
      </w:r>
    </w:p>
    <w:p w:rsidR="002E228D" w:rsidRPr="00A529EC" w:rsidRDefault="002E228D" w:rsidP="002E228D">
      <w:pPr>
        <w:autoSpaceDE w:val="0"/>
        <w:autoSpaceDN w:val="0"/>
        <w:adjustRightInd w:val="0"/>
        <w:spacing w:after="0" w:line="240" w:lineRule="auto"/>
        <w:rPr>
          <w:rFonts w:ascii="FranklinGothic-Book" w:hAnsi="FranklinGothic-Book" w:cs="FranklinGothic-Book"/>
          <w:sz w:val="20"/>
          <w:szCs w:val="20"/>
          <w:highlight w:val="yellow"/>
        </w:rPr>
      </w:pPr>
      <w:r w:rsidRPr="00A529EC">
        <w:rPr>
          <w:rFonts w:ascii="FranklinGothic-Book" w:hAnsi="FranklinGothic-Book" w:cs="FranklinGothic-Book"/>
          <w:sz w:val="20"/>
          <w:szCs w:val="20"/>
          <w:highlight w:val="yellow"/>
        </w:rPr>
        <w:t>applicable amendment of this Ordinance,</w:t>
      </w:r>
    </w:p>
    <w:p w:rsidR="002E228D" w:rsidRPr="00A529EC" w:rsidRDefault="002E228D" w:rsidP="002E228D">
      <w:pPr>
        <w:autoSpaceDE w:val="0"/>
        <w:autoSpaceDN w:val="0"/>
        <w:adjustRightInd w:val="0"/>
        <w:spacing w:after="0" w:line="240" w:lineRule="auto"/>
        <w:rPr>
          <w:rFonts w:ascii="FranklinGothic-Book" w:hAnsi="FranklinGothic-Book" w:cs="FranklinGothic-Book"/>
          <w:sz w:val="20"/>
          <w:szCs w:val="20"/>
          <w:highlight w:val="yellow"/>
        </w:rPr>
      </w:pPr>
      <w:r w:rsidRPr="00A529EC">
        <w:rPr>
          <w:rFonts w:ascii="FranklinGothic-Book" w:hAnsi="FranklinGothic-Book" w:cs="FranklinGothic-Book"/>
          <w:sz w:val="20"/>
          <w:szCs w:val="20"/>
          <w:highlight w:val="yellow"/>
        </w:rPr>
        <w:t>but no such use shall be extended to</w:t>
      </w:r>
    </w:p>
    <w:p w:rsidR="002E228D" w:rsidRDefault="002E228D" w:rsidP="002E228D">
      <w:pPr>
        <w:autoSpaceDE w:val="0"/>
        <w:autoSpaceDN w:val="0"/>
        <w:adjustRightInd w:val="0"/>
        <w:spacing w:after="0" w:line="240" w:lineRule="auto"/>
        <w:rPr>
          <w:rFonts w:ascii="FranklinGothic-Book" w:hAnsi="FranklinGothic-Book" w:cs="FranklinGothic-Book"/>
          <w:sz w:val="20"/>
          <w:szCs w:val="20"/>
        </w:rPr>
      </w:pPr>
      <w:r w:rsidRPr="00A529EC">
        <w:rPr>
          <w:rFonts w:ascii="FranklinGothic-Book" w:hAnsi="FranklinGothic-Book" w:cs="FranklinGothic-Book"/>
          <w:sz w:val="20"/>
          <w:szCs w:val="20"/>
          <w:highlight w:val="yellow"/>
        </w:rPr>
        <w:t>occupy any land outside such building.</w:t>
      </w:r>
    </w:p>
    <w:p w:rsidR="002E228D" w:rsidRDefault="002E228D" w:rsidP="002E228D">
      <w:pPr>
        <w:autoSpaceDE w:val="0"/>
        <w:autoSpaceDN w:val="0"/>
        <w:adjustRightInd w:val="0"/>
        <w:spacing w:after="0" w:line="240" w:lineRule="auto"/>
        <w:rPr>
          <w:rFonts w:ascii="FranklinGothic-Book" w:hAnsi="FranklinGothic-Book" w:cs="FranklinGothic-Book"/>
          <w:sz w:val="20"/>
          <w:szCs w:val="20"/>
        </w:rPr>
      </w:pPr>
    </w:p>
    <w:p w:rsidR="0028547B" w:rsidRDefault="0028547B">
      <w:r>
        <w:t xml:space="preserve">After asking some questions about the design of my building, how it has been used and for how long…he said yeah, you’re ok on that one.  He said, some communities put that original intention, or </w:t>
      </w:r>
      <w:r w:rsidR="00A10EEC">
        <w:t>design</w:t>
      </w:r>
      <w:r>
        <w:t xml:space="preserve"> </w:t>
      </w:r>
      <w:r w:rsidR="00A10EEC">
        <w:t>clause</w:t>
      </w:r>
      <w:r>
        <w:t xml:space="preserve"> in there, so a person that say lived in the back of </w:t>
      </w:r>
      <w:r w:rsidR="00A10EEC">
        <w:t>their</w:t>
      </w:r>
      <w:r>
        <w:t xml:space="preserve"> gas station prior to zoning could not turn a gas sta</w:t>
      </w:r>
      <w:r w:rsidR="00166D3C">
        <w:t>tio</w:t>
      </w:r>
      <w:r>
        <w:t>n into apartments.</w:t>
      </w:r>
    </w:p>
    <w:p w:rsidR="0028547B" w:rsidRDefault="0028547B">
      <w:r>
        <w:t xml:space="preserve">We discussed his fees, which were, little more than I paid a local attorney to listen to Sean and Lisa rant, </w:t>
      </w:r>
      <w:r w:rsidR="00A10EEC">
        <w:t>(</w:t>
      </w:r>
      <w:r>
        <w:t>see we all do it…RIGHT!</w:t>
      </w:r>
      <w:r w:rsidR="00A10EEC">
        <w:t>)</w:t>
      </w:r>
      <w:r>
        <w:t xml:space="preserve">  And besides, I can flip those fees back onto White Lake, because I am defending.</w:t>
      </w:r>
    </w:p>
    <w:p w:rsidR="0028547B" w:rsidRDefault="0028547B">
      <w:r>
        <w:t>Cool!</w:t>
      </w:r>
    </w:p>
    <w:p w:rsidR="002E228D" w:rsidRDefault="0028547B">
      <w:r>
        <w:t xml:space="preserve">So here is my deal.  </w:t>
      </w:r>
    </w:p>
    <w:p w:rsidR="00A10EEC" w:rsidRDefault="00A82403">
      <w:r>
        <w:t xml:space="preserve"> </w:t>
      </w:r>
      <w:r w:rsidRPr="00A529EC">
        <w:rPr>
          <w:highlight w:val="yellow"/>
        </w:rPr>
        <w:t xml:space="preserve">I don’t have to appeal to the Board of Zoning Appeals, and </w:t>
      </w:r>
      <w:r w:rsidR="00A10EEC" w:rsidRPr="00A529EC">
        <w:rPr>
          <w:highlight w:val="yellow"/>
        </w:rPr>
        <w:t>waste</w:t>
      </w:r>
      <w:r w:rsidRPr="00A529EC">
        <w:rPr>
          <w:highlight w:val="yellow"/>
        </w:rPr>
        <w:t xml:space="preserve"> more time, effort and money, because section7</w:t>
      </w:r>
      <w:r w:rsidR="00A10EEC" w:rsidRPr="00A529EC">
        <w:rPr>
          <w:highlight w:val="yellow"/>
        </w:rPr>
        <w:t xml:space="preserve"> of the WL Zoning Code</w:t>
      </w:r>
      <w:r w:rsidRPr="00A529EC">
        <w:rPr>
          <w:highlight w:val="yellow"/>
        </w:rPr>
        <w:t xml:space="preserve"> obviously addresses my situation.  </w:t>
      </w:r>
      <w:r w:rsidR="00A10EEC" w:rsidRPr="00A529EC">
        <w:rPr>
          <w:highlight w:val="yellow"/>
        </w:rPr>
        <w:t>(This section was never mentioned by Sean or Lisa, in their assault, on why I needed to be shut down……Whoops!</w:t>
      </w:r>
      <w:r w:rsidR="00B86AFA" w:rsidRPr="00A529EC">
        <w:rPr>
          <w:highlight w:val="yellow"/>
        </w:rPr>
        <w:t>)</w:t>
      </w:r>
    </w:p>
    <w:p w:rsidR="00B86AFA" w:rsidRDefault="00A82403">
      <w:r>
        <w:t>Therefore, I would like an immediate withdrawal of Sean’s illegal order to restrict my inter</w:t>
      </w:r>
      <w:r w:rsidR="00B86AFA">
        <w:t xml:space="preserve">ior use of my structure.  As </w:t>
      </w:r>
      <w:r>
        <w:t xml:space="preserve"> Section 7 reads, if the building inspector</w:t>
      </w:r>
      <w:r w:rsidR="00B86AFA">
        <w:t>, Brent,</w:t>
      </w:r>
      <w:r>
        <w:t xml:space="preserve"> would like to arrange an appointment to view the architectural use of the structure since it’s early beginnings, I would be glad to offer such a tour.  Although the very fact, that I have had two apartment fronts on my building, one for four years, and one for two years, with</w:t>
      </w:r>
      <w:r w:rsidR="00B86AFA">
        <w:t xml:space="preserve"> </w:t>
      </w:r>
      <w:r>
        <w:t>absolutely no complaint from anyone</w:t>
      </w:r>
      <w:r w:rsidR="00DB47F2">
        <w:t xml:space="preserve">, </w:t>
      </w:r>
      <w:r>
        <w:t>make</w:t>
      </w:r>
      <w:r w:rsidR="00DB47F2">
        <w:t>s</w:t>
      </w:r>
      <w:r>
        <w:t xml:space="preserve"> it quite obvious</w:t>
      </w:r>
      <w:r w:rsidR="00DB47F2">
        <w:t xml:space="preserve">, that my building takes the apartment use with no impact on the surrounding residents, business owners, etc.  </w:t>
      </w:r>
    </w:p>
    <w:p w:rsidR="00037A73" w:rsidRDefault="00037A73">
      <w:r>
        <w:t xml:space="preserve">I </w:t>
      </w:r>
      <w:r w:rsidR="00DF7F72">
        <w:t>would</w:t>
      </w:r>
      <w:r>
        <w:t xml:space="preserve"> like you’re response to this within two weeks, but rem</w:t>
      </w:r>
      <w:r w:rsidR="00DF7F72">
        <w:t>em</w:t>
      </w:r>
      <w:r>
        <w:t xml:space="preserve">ber, number one is I want my mixed use back so I can get back to normal.  </w:t>
      </w:r>
    </w:p>
    <w:p w:rsidR="00037A73" w:rsidRDefault="00037A73">
      <w:r>
        <w:t xml:space="preserve">Yours </w:t>
      </w:r>
      <w:r w:rsidR="00DF7F72">
        <w:t>Truly</w:t>
      </w:r>
      <w:r>
        <w:t>;</w:t>
      </w:r>
    </w:p>
    <w:p w:rsidR="00037A73" w:rsidRDefault="00037A73">
      <w:r>
        <w:t>Doug Hankes</w:t>
      </w:r>
    </w:p>
    <w:p w:rsidR="00DD27EE" w:rsidRDefault="00DD27EE"/>
    <w:sectPr w:rsidR="00DD27EE" w:rsidSect="00DB7B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FranklinGothic-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defaultTabStop w:val="720"/>
  <w:characterSpacingControl w:val="doNotCompress"/>
  <w:compat/>
  <w:rsids>
    <w:rsidRoot w:val="00207D01"/>
    <w:rsid w:val="00022961"/>
    <w:rsid w:val="00022FA6"/>
    <w:rsid w:val="00037A73"/>
    <w:rsid w:val="000630E9"/>
    <w:rsid w:val="000C4D2B"/>
    <w:rsid w:val="000F3114"/>
    <w:rsid w:val="00105B6A"/>
    <w:rsid w:val="00106E26"/>
    <w:rsid w:val="00110ADE"/>
    <w:rsid w:val="001357B1"/>
    <w:rsid w:val="001477E7"/>
    <w:rsid w:val="00166D3C"/>
    <w:rsid w:val="0016752B"/>
    <w:rsid w:val="001A5D1D"/>
    <w:rsid w:val="001A6746"/>
    <w:rsid w:val="001E0F9C"/>
    <w:rsid w:val="001E204E"/>
    <w:rsid w:val="00207D01"/>
    <w:rsid w:val="0024077F"/>
    <w:rsid w:val="002425C2"/>
    <w:rsid w:val="002770D5"/>
    <w:rsid w:val="0028547B"/>
    <w:rsid w:val="002909AB"/>
    <w:rsid w:val="00290A34"/>
    <w:rsid w:val="002B4200"/>
    <w:rsid w:val="002C22E3"/>
    <w:rsid w:val="002C688F"/>
    <w:rsid w:val="002E0515"/>
    <w:rsid w:val="002E228D"/>
    <w:rsid w:val="003121EA"/>
    <w:rsid w:val="003143AE"/>
    <w:rsid w:val="00317C72"/>
    <w:rsid w:val="00320523"/>
    <w:rsid w:val="0033346D"/>
    <w:rsid w:val="003402EF"/>
    <w:rsid w:val="00342BAD"/>
    <w:rsid w:val="00375B3F"/>
    <w:rsid w:val="00395D90"/>
    <w:rsid w:val="00396EC5"/>
    <w:rsid w:val="003A24E9"/>
    <w:rsid w:val="003E1A5F"/>
    <w:rsid w:val="003E2E6F"/>
    <w:rsid w:val="003F62F8"/>
    <w:rsid w:val="00420A32"/>
    <w:rsid w:val="00441B3E"/>
    <w:rsid w:val="004E0EFC"/>
    <w:rsid w:val="004E7431"/>
    <w:rsid w:val="004E7FFC"/>
    <w:rsid w:val="00506405"/>
    <w:rsid w:val="00546000"/>
    <w:rsid w:val="005E3B7E"/>
    <w:rsid w:val="005F5497"/>
    <w:rsid w:val="0060064A"/>
    <w:rsid w:val="00620DD8"/>
    <w:rsid w:val="00622711"/>
    <w:rsid w:val="00640AC0"/>
    <w:rsid w:val="006574C1"/>
    <w:rsid w:val="006952C3"/>
    <w:rsid w:val="006C7971"/>
    <w:rsid w:val="006D048C"/>
    <w:rsid w:val="006D2195"/>
    <w:rsid w:val="006E577B"/>
    <w:rsid w:val="0070174D"/>
    <w:rsid w:val="00704815"/>
    <w:rsid w:val="007370A8"/>
    <w:rsid w:val="00751706"/>
    <w:rsid w:val="007528C9"/>
    <w:rsid w:val="00754CAD"/>
    <w:rsid w:val="0075564C"/>
    <w:rsid w:val="007B1851"/>
    <w:rsid w:val="007D6129"/>
    <w:rsid w:val="007E54B8"/>
    <w:rsid w:val="00807AF6"/>
    <w:rsid w:val="00826F52"/>
    <w:rsid w:val="00831820"/>
    <w:rsid w:val="00853738"/>
    <w:rsid w:val="00875FB2"/>
    <w:rsid w:val="00887487"/>
    <w:rsid w:val="008A6341"/>
    <w:rsid w:val="008F0F4F"/>
    <w:rsid w:val="00906ED2"/>
    <w:rsid w:val="00932134"/>
    <w:rsid w:val="0093249B"/>
    <w:rsid w:val="009B3B84"/>
    <w:rsid w:val="009C31C7"/>
    <w:rsid w:val="00A10EEC"/>
    <w:rsid w:val="00A1354A"/>
    <w:rsid w:val="00A2286C"/>
    <w:rsid w:val="00A529EC"/>
    <w:rsid w:val="00A756D7"/>
    <w:rsid w:val="00A82403"/>
    <w:rsid w:val="00AB3F4A"/>
    <w:rsid w:val="00B1205B"/>
    <w:rsid w:val="00B638C1"/>
    <w:rsid w:val="00B67EC1"/>
    <w:rsid w:val="00B86AFA"/>
    <w:rsid w:val="00BB10B9"/>
    <w:rsid w:val="00BB50CC"/>
    <w:rsid w:val="00BC0856"/>
    <w:rsid w:val="00BE73B2"/>
    <w:rsid w:val="00C217FF"/>
    <w:rsid w:val="00C23EBB"/>
    <w:rsid w:val="00C441DB"/>
    <w:rsid w:val="00CA40FB"/>
    <w:rsid w:val="00CC7905"/>
    <w:rsid w:val="00CF7243"/>
    <w:rsid w:val="00D024A6"/>
    <w:rsid w:val="00D54743"/>
    <w:rsid w:val="00D608EF"/>
    <w:rsid w:val="00DB47F2"/>
    <w:rsid w:val="00DB7B75"/>
    <w:rsid w:val="00DC59E8"/>
    <w:rsid w:val="00DD27EE"/>
    <w:rsid w:val="00DD6893"/>
    <w:rsid w:val="00DF7F72"/>
    <w:rsid w:val="00E07F99"/>
    <w:rsid w:val="00E37C82"/>
    <w:rsid w:val="00E67223"/>
    <w:rsid w:val="00E82A2C"/>
    <w:rsid w:val="00F04429"/>
    <w:rsid w:val="00F17BEB"/>
    <w:rsid w:val="00F232F2"/>
    <w:rsid w:val="00F81CDC"/>
    <w:rsid w:val="00F85137"/>
    <w:rsid w:val="00FA3E9E"/>
    <w:rsid w:val="00FA5325"/>
    <w:rsid w:val="00FB3218"/>
    <w:rsid w:val="00FF37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B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Hankes</dc:creator>
  <cp:lastModifiedBy>DHankes</cp:lastModifiedBy>
  <cp:revision>18</cp:revision>
  <dcterms:created xsi:type="dcterms:W3CDTF">2014-07-19T15:18:00Z</dcterms:created>
  <dcterms:modified xsi:type="dcterms:W3CDTF">2016-07-17T16:26:00Z</dcterms:modified>
</cp:coreProperties>
</file>